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874B03"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p>
    <w:p w:rsidR="004E26EC" w:rsidRPr="00A35892" w:rsidRDefault="001905C1" w:rsidP="004E26EC">
      <w:pPr>
        <w:pStyle w:val="Header"/>
        <w:rPr>
          <w:rFonts w:ascii="Arial" w:hAnsi="Arial" w:cs="Arial"/>
          <w:b/>
          <w:bCs/>
          <w:color w:val="052E65"/>
          <w:kern w:val="0"/>
          <w:sz w:val="22"/>
          <w:szCs w:val="22"/>
          <w:lang w:eastAsia="zh-CN"/>
        </w:rPr>
      </w:pPr>
      <w:r w:rsidRPr="001905C1">
        <w:rPr>
          <w:rFonts w:ascii="Arial" w:hAnsi="Arial" w:cs="Arial"/>
          <w:b/>
          <w:bCs/>
          <w:color w:val="052E65"/>
          <w:kern w:val="0"/>
          <w:sz w:val="22"/>
          <w:szCs w:val="22"/>
          <w:lang w:eastAsia="zh-CN"/>
        </w:rPr>
        <w:t>China Connect (Securities)</w:t>
      </w:r>
      <w:r>
        <w:rPr>
          <w:rFonts w:ascii="Arial" w:hAnsi="Arial" w:cs="Arial"/>
          <w:b/>
          <w:bCs/>
          <w:color w:val="052E65"/>
          <w:kern w:val="0"/>
          <w:sz w:val="22"/>
          <w:szCs w:val="22"/>
          <w:lang w:eastAsia="zh-CN"/>
        </w:rPr>
        <w:t xml:space="preserve"> </w:t>
      </w:r>
      <w:r w:rsidR="004E26EC"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004E26EC"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004E26EC" w:rsidRPr="00A35892">
        <w:rPr>
          <w:rFonts w:ascii="Arial" w:hAnsi="Arial" w:cs="Arial"/>
          <w:b/>
          <w:bCs/>
          <w:color w:val="052E65"/>
          <w:kern w:val="0"/>
          <w:sz w:val="22"/>
          <w:szCs w:val="22"/>
          <w:lang w:eastAsia="zh-CN"/>
        </w:rPr>
        <w:t>)</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789" w:type="dxa"/>
        <w:tblInd w:w="108" w:type="dxa"/>
        <w:tblLayout w:type="fixed"/>
        <w:tblCellMar>
          <w:left w:w="0" w:type="dxa"/>
          <w:right w:w="0" w:type="dxa"/>
        </w:tblCellMar>
        <w:tblLook w:val="04A0" w:firstRow="1" w:lastRow="0" w:firstColumn="1" w:lastColumn="0" w:noHBand="0" w:noVBand="1"/>
      </w:tblPr>
      <w:tblGrid>
        <w:gridCol w:w="1560"/>
        <w:gridCol w:w="992"/>
        <w:gridCol w:w="1134"/>
        <w:gridCol w:w="1701"/>
        <w:gridCol w:w="1134"/>
        <w:gridCol w:w="1134"/>
        <w:gridCol w:w="1134"/>
      </w:tblGrid>
      <w:tr w:rsidR="000D4A8C" w:rsidRPr="00B853F1" w:rsidTr="000D4A8C">
        <w:trPr>
          <w:trHeight w:val="340"/>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229"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FA143B">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1" w:name="_Ref8807236"/>
            <w:r w:rsidR="00A66599">
              <w:rPr>
                <w:rStyle w:val="FootnoteReference"/>
                <w:rFonts w:ascii="Arial" w:hAnsi="Arial" w:cs="Arial"/>
                <w:sz w:val="20"/>
              </w:rPr>
              <w:footnoteReference w:id="1"/>
            </w:r>
            <w:bookmarkEnd w:id="1"/>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68"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FA143B">
        <w:trPr>
          <w:trHeight w:val="485"/>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FA143B">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500C1F">
        <w:trPr>
          <w:trHeight w:val="127"/>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0D4A8C">
              <w:rPr>
                <w:rFonts w:ascii="Arial" w:hAnsi="Arial" w:cs="Arial"/>
                <w:b/>
                <w:sz w:val="20"/>
                <w:u w:val="single"/>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500C1F">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500C1F">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0D4A8C">
              <w:rPr>
                <w:rFonts w:ascii="Arial" w:hAnsi="Arial" w:cs="Arial"/>
                <w:b/>
                <w:sz w:val="20"/>
                <w:u w:val="single"/>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500C1F">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FA143B">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tbl>
      <w:tblPr>
        <w:tblW w:w="8789" w:type="dxa"/>
        <w:tblInd w:w="108" w:type="dxa"/>
        <w:tblLayout w:type="fixed"/>
        <w:tblCellMar>
          <w:left w:w="0" w:type="dxa"/>
          <w:right w:w="0" w:type="dxa"/>
        </w:tblCellMar>
        <w:tblLook w:val="04A0" w:firstRow="1" w:lastRow="0" w:firstColumn="1" w:lastColumn="0" w:noHBand="0" w:noVBand="1"/>
      </w:tblPr>
      <w:tblGrid>
        <w:gridCol w:w="1560"/>
        <w:gridCol w:w="992"/>
        <w:gridCol w:w="1701"/>
        <w:gridCol w:w="1984"/>
        <w:gridCol w:w="1276"/>
        <w:gridCol w:w="1276"/>
      </w:tblGrid>
      <w:tr w:rsidR="00D3071F" w:rsidRPr="00B853F1" w:rsidTr="00D3071F">
        <w:trPr>
          <w:trHeight w:val="340"/>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229"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sidRPr="00835301">
              <w:rPr>
                <w:rFonts w:ascii="Arial" w:hAnsi="Arial" w:cs="Arial"/>
                <w:b/>
                <w:sz w:val="20"/>
              </w:rPr>
              <w:t>OMD-</w:t>
            </w:r>
            <w:r>
              <w:rPr>
                <w:rFonts w:ascii="Arial" w:hAnsi="Arial" w:cs="Arial"/>
                <w:b/>
                <w:sz w:val="20"/>
              </w:rPr>
              <w:t>B</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1F0A58">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1F0A58">
        <w:trPr>
          <w:trHeight w:val="485"/>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1F0A58">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1F0A58">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3071F" w:rsidRDefault="00D3071F" w:rsidP="000D4A8C">
      <w:pPr>
        <w:ind w:left="987" w:hangingChars="493" w:hanging="987"/>
        <w:contextualSpacing/>
        <w:rPr>
          <w:rFonts w:ascii="Arial" w:hAnsi="Arial" w:cs="Arial"/>
          <w:b/>
          <w:bCs/>
          <w:sz w:val="20"/>
        </w:rPr>
      </w:pPr>
    </w:p>
    <w:p w:rsidR="000D4A8C" w:rsidRDefault="000D4A8C" w:rsidP="000D4A8C">
      <w:pPr>
        <w:ind w:left="987" w:hangingChars="493" w:hanging="987"/>
        <w:contextualSpacing/>
        <w:rPr>
          <w:rFonts w:ascii="Arial" w:hAnsi="Arial" w:cs="Arial"/>
          <w:b/>
          <w:bCs/>
          <w:sz w:val="20"/>
        </w:rPr>
      </w:pPr>
    </w:p>
    <w:p w:rsidR="00E3106E" w:rsidRDefault="00E3106E" w:rsidP="000D4A8C">
      <w:pPr>
        <w:ind w:left="987" w:hangingChars="493" w:hanging="987"/>
        <w:contextualSpacing/>
        <w:rPr>
          <w:rFonts w:ascii="Arial" w:hAnsi="Arial" w:cs="Arial"/>
          <w:b/>
          <w:bCs/>
          <w:sz w:val="20"/>
        </w:rPr>
      </w:pPr>
    </w:p>
    <w:p w:rsidR="00E3106E" w:rsidRDefault="00E3106E" w:rsidP="000D4A8C">
      <w:pPr>
        <w:ind w:left="987" w:hangingChars="493" w:hanging="987"/>
        <w:contextualSpacing/>
        <w:rPr>
          <w:rFonts w:ascii="Arial" w:hAnsi="Arial" w:cs="Arial"/>
          <w:b/>
          <w:bCs/>
          <w:sz w:val="20"/>
        </w:rPr>
      </w:pPr>
    </w:p>
    <w:p w:rsidR="00E3106E" w:rsidRDefault="00E3106E" w:rsidP="000D4A8C">
      <w:pPr>
        <w:ind w:left="987" w:hangingChars="493" w:hanging="987"/>
        <w:contextualSpacing/>
        <w:rPr>
          <w:rFonts w:ascii="Arial" w:hAnsi="Arial" w:cs="Arial"/>
          <w:b/>
          <w:bCs/>
          <w:sz w:val="20"/>
        </w:rPr>
      </w:pPr>
    </w:p>
    <w:p w:rsidR="00513ADD" w:rsidRDefault="00513ADD" w:rsidP="000D4A8C">
      <w:pPr>
        <w:ind w:left="987" w:hangingChars="493" w:hanging="987"/>
        <w:contextualSpacing/>
        <w:rPr>
          <w:rFonts w:ascii="Arial" w:hAnsi="Arial" w:cs="Arial"/>
          <w:b/>
          <w:bCs/>
          <w:sz w:val="20"/>
        </w:rPr>
      </w:pPr>
    </w:p>
    <w:p w:rsidR="00513ADD" w:rsidRDefault="00513ADD" w:rsidP="000D4A8C">
      <w:pPr>
        <w:ind w:left="987" w:hangingChars="493" w:hanging="987"/>
        <w:contextualSpacing/>
        <w:rPr>
          <w:rFonts w:ascii="Arial" w:hAnsi="Arial" w:cs="Arial"/>
          <w:b/>
          <w:bCs/>
          <w:sz w:val="20"/>
        </w:rPr>
      </w:pPr>
    </w:p>
    <w:p w:rsidR="00513ADD" w:rsidRPr="00835301" w:rsidRDefault="00513ADD" w:rsidP="000D4A8C">
      <w:pPr>
        <w:ind w:left="987" w:hangingChars="493" w:hanging="987"/>
        <w:contextualSpacing/>
        <w:rPr>
          <w:rFonts w:ascii="Arial" w:hAnsi="Arial" w:cs="Arial"/>
          <w:b/>
          <w:bCs/>
          <w:sz w:val="20"/>
        </w:rPr>
      </w:pPr>
    </w:p>
    <w:tbl>
      <w:tblPr>
        <w:tblW w:w="8789" w:type="dxa"/>
        <w:tblInd w:w="108" w:type="dxa"/>
        <w:tblLayout w:type="fixed"/>
        <w:tblCellMar>
          <w:left w:w="0" w:type="dxa"/>
          <w:right w:w="0" w:type="dxa"/>
        </w:tblCellMar>
        <w:tblLook w:val="04A0" w:firstRow="1" w:lastRow="0" w:firstColumn="1" w:lastColumn="0" w:noHBand="0" w:noVBand="1"/>
      </w:tblPr>
      <w:tblGrid>
        <w:gridCol w:w="1560"/>
        <w:gridCol w:w="2126"/>
        <w:gridCol w:w="1417"/>
        <w:gridCol w:w="1843"/>
        <w:gridCol w:w="1843"/>
      </w:tblGrid>
      <w:tr w:rsidR="000D4A8C" w:rsidRPr="00B853F1" w:rsidTr="000D4A8C">
        <w:trPr>
          <w:trHeight w:val="340"/>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229"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For China Connect Exchange Participants (“CCEPs”) only</w:t>
            </w:r>
          </w:p>
        </w:tc>
      </w:tr>
      <w:tr w:rsidR="00DF3B7D" w:rsidRPr="000D4A8C" w:rsidTr="00DF3B7D">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68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FE6ABF">
        <w:trPr>
          <w:trHeight w:val="485"/>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FE6ABF">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FE6ABF">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FE6ABF">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0D4A8C">
      <w:pPr>
        <w:pStyle w:val="ListParagraph"/>
        <w:tabs>
          <w:tab w:val="left" w:pos="1440"/>
          <w:tab w:val="left" w:pos="2250"/>
          <w:tab w:val="left" w:pos="2610"/>
          <w:tab w:val="left" w:pos="3420"/>
          <w:tab w:val="left" w:pos="3690"/>
          <w:tab w:val="left" w:pos="6390"/>
          <w:tab w:val="left" w:pos="7200"/>
        </w:tabs>
        <w:ind w:left="426" w:right="185"/>
        <w:jc w:val="both"/>
        <w:rPr>
          <w:rFonts w:ascii="Arial" w:hAnsi="Arial" w:cs="Arial"/>
          <w:spacing w:val="3"/>
          <w:sz w:val="18"/>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C777A1">
        <w:trPr>
          <w:trHeight w:val="429"/>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86008E">
              <w:rPr>
                <w:rFonts w:ascii="Arial" w:hAnsi="Arial" w:cs="Arial"/>
                <w:sz w:val="20"/>
                <w:highlight w:val="yellow"/>
              </w:rPr>
            </w:r>
            <w:r w:rsidR="0086008E">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3" w:name="Check7"/>
            <w:r w:rsidRPr="00A35892">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A35892">
              <w:rPr>
                <w:rFonts w:ascii="Arial" w:hAnsi="Arial" w:cs="Arial"/>
                <w:sz w:val="20"/>
              </w:rPr>
              <w:fldChar w:fldCharType="end"/>
            </w:r>
            <w:bookmarkEnd w:id="3"/>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Pr="00A35892" w:rsidRDefault="00CC1E4A" w:rsidP="001905C1">
      <w:pPr>
        <w:ind w:left="987" w:hangingChars="493" w:hanging="987"/>
        <w:contextualSpacing/>
        <w:rPr>
          <w:rFonts w:ascii="Arial" w:hAnsi="Arial" w:cs="Arial"/>
          <w:b/>
          <w:bCs/>
          <w:sz w:val="20"/>
        </w:rPr>
      </w:pPr>
    </w:p>
    <w:p w:rsidR="004E26EC" w:rsidRPr="009F3DA3" w:rsidRDefault="004E26EC" w:rsidP="000B5C6D">
      <w:pPr>
        <w:widowControl/>
        <w:spacing w:after="200" w:line="276" w:lineRule="auto"/>
        <w:jc w:val="both"/>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2B3198">
        <w:rPr>
          <w:rStyle w:val="FootnoteReference"/>
          <w:rFonts w:ascii="Arial" w:hAnsi="Arial" w:cs="Arial"/>
          <w:b/>
          <w:bCs/>
          <w:i/>
          <w:sz w:val="20"/>
        </w:rPr>
        <w:footnoteReference w:id="12"/>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DF7E4D" w:rsidRPr="00DF7E4D" w:rsidRDefault="00DF7E4D" w:rsidP="004E26EC">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2B3198">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2B3198">
              <w:rPr>
                <w:rStyle w:val="FootnoteReference"/>
                <w:rFonts w:ascii="Arial" w:hAnsi="Arial" w:cs="Arial"/>
                <w:b/>
                <w:color w:val="000000"/>
                <w:sz w:val="20"/>
              </w:rPr>
              <w:footnoteReference w:id="13"/>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DF7E4D" w:rsidRPr="009F3DA3" w:rsidTr="00D3071F">
        <w:tc>
          <w:tcPr>
            <w:tcW w:w="4678" w:type="dxa"/>
            <w:shd w:val="clear" w:color="auto" w:fill="DAEEF3" w:themeFill="accent5" w:themeFillTint="33"/>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802418">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2B3198">
              <w:rPr>
                <w:rStyle w:val="FootnoteReference"/>
                <w:rFonts w:ascii="Arial" w:hAnsi="Arial" w:cs="Arial"/>
                <w:b/>
                <w:color w:val="000000"/>
                <w:sz w:val="20"/>
              </w:rPr>
              <w:t>1</w:t>
            </w:r>
            <w:r w:rsidR="00802418">
              <w:rPr>
                <w:rStyle w:val="FootnoteReference"/>
                <w:rFonts w:ascii="Arial" w:hAnsi="Arial" w:cs="Arial"/>
                <w:b/>
                <w:color w:val="000000"/>
                <w:sz w:val="20"/>
              </w:rPr>
              <w:t>3</w:t>
            </w:r>
          </w:p>
        </w:tc>
      </w:tr>
      <w:tr w:rsidR="00DF7E4D" w:rsidRPr="009F3DA3" w:rsidTr="00D3071F">
        <w:trPr>
          <w:trHeight w:val="70"/>
        </w:trPr>
        <w:tc>
          <w:tcPr>
            <w:tcW w:w="4678" w:type="dxa"/>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B5122F">
      <w:pPr>
        <w:tabs>
          <w:tab w:val="left" w:pos="5600"/>
        </w:tabs>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 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B5122F">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6008E">
              <w:rPr>
                <w:rFonts w:ascii="Arial" w:hAnsi="Arial" w:cs="Arial"/>
                <w:sz w:val="18"/>
              </w:rPr>
            </w:r>
            <w:r w:rsidR="0086008E">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4"/>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6008E">
              <w:rPr>
                <w:rFonts w:ascii="Arial" w:hAnsi="Arial" w:cs="Arial"/>
                <w:sz w:val="18"/>
              </w:rPr>
            </w:r>
            <w:r w:rsidR="0086008E">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6008E">
              <w:rPr>
                <w:rFonts w:ascii="Arial" w:hAnsi="Arial" w:cs="Arial"/>
                <w:sz w:val="18"/>
              </w:rPr>
            </w:r>
            <w:r w:rsidR="0086008E">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sidR="00506D39">
              <w:rPr>
                <w:rFonts w:ascii="Arial" w:hAnsi="Arial" w:cs="Arial"/>
                <w:b/>
                <w:sz w:val="18"/>
                <w:vertAlign w:val="superscript"/>
              </w:rPr>
              <w:t>13</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B5122F"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18"/>
                <w:u w:val="none"/>
                <w:lang w:val="fr-FR"/>
              </w:rPr>
            </w:pPr>
            <w:r w:rsidRPr="00B5122F">
              <w:rPr>
                <w:rStyle w:val="Hyperlink"/>
                <w:rFonts w:ascii="Arial" w:hAnsi="Arial" w:cs="Arial"/>
                <w:b/>
                <w:bCs/>
                <w:color w:val="000000" w:themeColor="text1"/>
                <w:sz w:val="18"/>
                <w:u w:val="none"/>
                <w:lang w:val="fr-FR"/>
              </w:rPr>
              <w:t xml:space="preserve">OMD-D </w:t>
            </w:r>
            <w:r w:rsidRPr="00B5122F">
              <w:rPr>
                <w:rFonts w:ascii="Arial" w:hAnsi="Arial" w:cs="Arial"/>
                <w:b/>
                <w:bCs/>
                <w:sz w:val="18"/>
              </w:rPr>
              <w:t xml:space="preserve">Feed </w:t>
            </w:r>
            <w:r w:rsidRPr="00B5122F">
              <w:rPr>
                <w:rStyle w:val="Hyperlink"/>
                <w:rFonts w:ascii="Arial" w:hAnsi="Arial" w:cs="Arial"/>
                <w:b/>
                <w:bCs/>
                <w:color w:val="000000" w:themeColor="text1"/>
                <w:sz w:val="18"/>
                <w:u w:val="none"/>
                <w:lang w:val="fr-FR"/>
              </w:rPr>
              <w:t xml:space="preserve">Handler Software </w:t>
            </w:r>
            <w:r w:rsidRPr="00B5122F">
              <w:rPr>
                <w:rFonts w:ascii="Arial" w:hAnsi="Arial" w:cs="Arial"/>
                <w:b/>
                <w:bCs/>
                <w:sz w:val="18"/>
              </w:rPr>
              <w:t>Declaration</w:t>
            </w:r>
          </w:p>
        </w:tc>
      </w:tr>
      <w:tr w:rsidR="00DE0AA5" w:rsidTr="00B5122F">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86008E">
              <w:rPr>
                <w:rFonts w:ascii="Arial" w:hAnsi="Arial" w:cs="Arial"/>
                <w:sz w:val="18"/>
              </w:rPr>
            </w:r>
            <w:r w:rsidR="0086008E">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OMD-D feed handler</w:t>
            </w:r>
            <w:r w:rsidR="002B3198">
              <w:rPr>
                <w:rStyle w:val="FootnoteReference"/>
                <w:rFonts w:ascii="Arial" w:hAnsi="Arial" w:cs="Arial"/>
                <w:b/>
                <w:sz w:val="18"/>
              </w:rPr>
              <w:t>15</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86008E">
              <w:rPr>
                <w:rFonts w:ascii="Arial" w:hAnsi="Arial" w:cs="Arial"/>
                <w:sz w:val="18"/>
              </w:rPr>
            </w:r>
            <w:r w:rsidR="0086008E">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86008E">
              <w:rPr>
                <w:rFonts w:ascii="Arial" w:hAnsi="Arial" w:cs="Arial"/>
                <w:sz w:val="18"/>
              </w:rPr>
            </w:r>
            <w:r w:rsidR="0086008E">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sidR="002B3198">
              <w:rPr>
                <w:rStyle w:val="FootnoteReference"/>
                <w:rFonts w:ascii="Arial" w:hAnsi="Arial" w:cs="Arial"/>
                <w:sz w:val="18"/>
              </w:rPr>
              <w:footnoteReference w:id="15"/>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C777A1">
        <w:trPr>
          <w:trHeight w:val="920"/>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86008E">
              <w:rPr>
                <w:rFonts w:ascii="Arial" w:hAnsi="Arial" w:cs="Arial"/>
                <w:sz w:val="20"/>
              </w:rPr>
            </w:r>
            <w:r w:rsidR="0086008E">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bl>
    <w:p w:rsidR="00CC5194" w:rsidRPr="00B5122F" w:rsidRDefault="00CC5194" w:rsidP="002866CA">
      <w:pPr>
        <w:tabs>
          <w:tab w:val="left" w:pos="1440"/>
          <w:tab w:val="left" w:pos="2250"/>
          <w:tab w:val="left" w:pos="2610"/>
          <w:tab w:val="left" w:pos="3420"/>
          <w:tab w:val="left" w:pos="3690"/>
          <w:tab w:val="left" w:pos="6390"/>
          <w:tab w:val="left" w:pos="7200"/>
        </w:tabs>
        <w:rPr>
          <w:rStyle w:val="Hyperlink"/>
          <w:rFonts w:ascii="Arial" w:hAnsi="Arial" w:cs="Arial"/>
          <w:bCs/>
          <w:color w:val="000000" w:themeColor="text1"/>
          <w:sz w:val="18"/>
          <w:szCs w:val="18"/>
          <w:u w:val="none"/>
          <w:lang w:val="fr-FR"/>
        </w:rPr>
      </w:pPr>
    </w:p>
    <w:p w:rsidR="00903885" w:rsidRPr="00903885" w:rsidRDefault="00903885"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 w:name="Dropdown2"/>
            <w:r>
              <w:rPr>
                <w:rFonts w:ascii="Arial" w:hAnsi="Arial" w:cs="Arial"/>
                <w:sz w:val="20"/>
              </w:rPr>
              <w:instrText xml:space="preserve"> FORMDROPDOWN </w:instrText>
            </w:r>
            <w:r w:rsidR="0086008E">
              <w:rPr>
                <w:rFonts w:ascii="Arial" w:hAnsi="Arial" w:cs="Arial"/>
                <w:sz w:val="20"/>
              </w:rPr>
            </w:r>
            <w:r w:rsidR="0086008E">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5" w:name="Dropdown3"/>
            <w:r w:rsidR="00134CF3">
              <w:rPr>
                <w:rFonts w:ascii="Arial" w:hAnsi="Arial" w:cs="Arial"/>
                <w:sz w:val="20"/>
              </w:rPr>
              <w:instrText xml:space="preserve"> FORMDROPDOWN </w:instrText>
            </w:r>
            <w:r w:rsidR="0086008E">
              <w:rPr>
                <w:rFonts w:ascii="Arial" w:hAnsi="Arial" w:cs="Arial"/>
                <w:sz w:val="20"/>
              </w:rPr>
            </w:r>
            <w:r w:rsidR="0086008E">
              <w:rPr>
                <w:rFonts w:ascii="Arial" w:hAnsi="Arial" w:cs="Arial"/>
                <w:sz w:val="20"/>
              </w:rPr>
              <w:fldChar w:fldCharType="separate"/>
            </w:r>
            <w:r w:rsidR="00134CF3">
              <w:rPr>
                <w:rFonts w:ascii="Arial" w:hAnsi="Arial" w:cs="Arial"/>
                <w:sz w:val="20"/>
              </w:rPr>
              <w:fldChar w:fldCharType="end"/>
            </w:r>
            <w:bookmarkEnd w:id="5"/>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86008E">
              <w:rPr>
                <w:rFonts w:ascii="Arial" w:hAnsi="Arial" w:cs="Arial"/>
                <w:sz w:val="20"/>
              </w:rPr>
            </w:r>
            <w:r w:rsidR="0086008E">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86008E">
              <w:rPr>
                <w:rFonts w:ascii="Arial" w:hAnsi="Arial" w:cs="Arial"/>
                <w:sz w:val="20"/>
              </w:rPr>
            </w:r>
            <w:r w:rsidR="0086008E">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86008E">
              <w:rPr>
                <w:rFonts w:ascii="Arial" w:hAnsi="Arial" w:cs="Arial"/>
                <w:sz w:val="20"/>
              </w:rPr>
            </w:r>
            <w:r w:rsidR="0086008E">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86008E">
              <w:rPr>
                <w:rFonts w:ascii="Arial" w:hAnsi="Arial" w:cs="Arial"/>
                <w:sz w:val="20"/>
              </w:rPr>
            </w:r>
            <w:r w:rsidR="0086008E">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2"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w:t>
      </w:r>
      <w:r>
        <w:rPr>
          <w:rFonts w:ascii="Arial" w:hAnsi="Arial" w:cs="Arial"/>
          <w:spacing w:val="3"/>
          <w:sz w:val="20"/>
        </w:rPr>
        <w:lastRenderedPageBreak/>
        <w:t xml:space="preserve">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86008E">
              <w:rPr>
                <w:rFonts w:ascii="Arial" w:hAnsi="Arial" w:cs="Arial"/>
                <w:iCs/>
                <w:sz w:val="20"/>
                <w:szCs w:val="22"/>
              </w:rPr>
            </w:r>
            <w:r w:rsidR="0086008E">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86008E"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6"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6"/>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3"/>
          <w:footerReference w:type="default" r:id="rId14"/>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7"/>
          <w:footerReference w:type="default" r:id="rId18"/>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03" w:rsidRDefault="00874B03" w:rsidP="004E26EC">
      <w:r>
        <w:separator/>
      </w:r>
    </w:p>
  </w:endnote>
  <w:endnote w:type="continuationSeparator" w:id="0">
    <w:p w:rsidR="00874B03" w:rsidRDefault="00874B03"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PMingLiU"/>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874B03" w:rsidRDefault="00874B03">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86008E">
          <w:rPr>
            <w:rFonts w:ascii="Arial" w:hAnsi="Arial" w:cs="Arial"/>
            <w:noProof/>
            <w:sz w:val="16"/>
          </w:rPr>
          <w:t>1</w:t>
        </w:r>
        <w:r w:rsidRPr="005A2BB9">
          <w:rPr>
            <w:rFonts w:ascii="Arial" w:hAnsi="Arial" w:cs="Arial"/>
            <w:noProof/>
            <w:sz w:val="16"/>
          </w:rPr>
          <w:fldChar w:fldCharType="end"/>
        </w:r>
      </w:p>
    </w:sdtContent>
  </w:sdt>
  <w:p w:rsidR="00874B03" w:rsidRPr="005A2BB9" w:rsidRDefault="00874B03" w:rsidP="005A2BB9">
    <w:pPr>
      <w:pStyle w:val="Footer"/>
      <w:ind w:right="80"/>
      <w:jc w:val="right"/>
      <w:rPr>
        <w:rFonts w:ascii="Arial" w:hAnsi="Arial" w:cs="Arial"/>
        <w:sz w:val="16"/>
      </w:rPr>
    </w:pPr>
    <w:r>
      <w:rPr>
        <w:rFonts w:ascii="Arial" w:hAnsi="Arial" w:cs="Arial" w:hint="eastAsia"/>
        <w:sz w:val="16"/>
      </w:rPr>
      <w:t>May</w:t>
    </w:r>
    <w:r w:rsidRPr="005A2BB9">
      <w:rPr>
        <w:rFonts w:ascii="Arial" w:hAnsi="Arial" w:cs="Arial"/>
        <w:sz w:val="16"/>
      </w:rPr>
      <w:t xml:space="preserve"> </w:t>
    </w:r>
    <w:r>
      <w:rPr>
        <w:rFonts w:ascii="Arial" w:hAnsi="Arial" w:cs="Arial"/>
        <w:sz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874B03" w:rsidRPr="005A2BB9" w:rsidRDefault="00874B03">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86008E">
          <w:rPr>
            <w:rFonts w:ascii="Arial" w:hAnsi="Arial" w:cs="Arial"/>
            <w:noProof/>
            <w:sz w:val="16"/>
          </w:rPr>
          <w:t>6</w:t>
        </w:r>
        <w:r w:rsidRPr="005A2BB9">
          <w:rPr>
            <w:rFonts w:ascii="Arial" w:hAnsi="Arial" w:cs="Arial"/>
            <w:noProof/>
            <w:sz w:val="16"/>
          </w:rPr>
          <w:fldChar w:fldCharType="end"/>
        </w:r>
      </w:p>
    </w:sdtContent>
  </w:sdt>
  <w:p w:rsidR="00874B03" w:rsidRPr="005A2BB9" w:rsidRDefault="00874B03" w:rsidP="00E53038">
    <w:pPr>
      <w:pStyle w:val="Footer"/>
      <w:wordWrap w:val="0"/>
      <w:ind w:right="80"/>
      <w:jc w:val="right"/>
      <w:rPr>
        <w:rFonts w:ascii="Arial" w:hAnsi="Arial" w:cs="Arial"/>
        <w:sz w:val="16"/>
      </w:rPr>
    </w:pPr>
    <w:r>
      <w:rPr>
        <w:rFonts w:ascii="Arial" w:hAnsi="Arial" w:cs="Arial"/>
        <w:sz w:val="16"/>
      </w:rPr>
      <w:t>Jan 2019</w:t>
    </w:r>
  </w:p>
  <w:p w:rsidR="00874B03" w:rsidRDefault="0087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03" w:rsidRDefault="00874B03" w:rsidP="004E26EC">
      <w:r>
        <w:separator/>
      </w:r>
    </w:p>
  </w:footnote>
  <w:footnote w:type="continuationSeparator" w:id="0">
    <w:p w:rsidR="00874B03" w:rsidRDefault="00874B03" w:rsidP="004E26EC">
      <w:r>
        <w:continuationSeparator/>
      </w:r>
    </w:p>
  </w:footnote>
  <w:footnote w:id="1">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 selected</w:t>
      </w:r>
    </w:p>
  </w:footnote>
  <w:footnote w:id="2">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874B03" w:rsidRPr="00E3106E" w:rsidRDefault="00874B03"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sidR="00C777A1">
        <w:rPr>
          <w:rFonts w:ascii="Arial" w:hAnsi="Arial" w:cs="Arial"/>
          <w:sz w:val="16"/>
        </w:rPr>
        <w:t>bscriber</w:t>
      </w:r>
    </w:p>
  </w:footnote>
  <w:footnote w:id="4">
    <w:p w:rsidR="00874B03" w:rsidRPr="00CC1E4A" w:rsidRDefault="00874B03">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874B03" w:rsidRPr="00CC1E4A" w:rsidRDefault="00874B03">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874B03" w:rsidRPr="00E3106E" w:rsidRDefault="00874B0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3">
    <w:p w:rsidR="00874B03" w:rsidRPr="002B3198" w:rsidRDefault="00874B0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 w:id="14">
    <w:p w:rsidR="00874B03" w:rsidRPr="00E3106E" w:rsidRDefault="00874B03">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5">
    <w:p w:rsidR="00874B03" w:rsidRPr="002B3198" w:rsidRDefault="00874B03">
      <w:pPr>
        <w:pStyle w:val="FootnoteText"/>
        <w:rPr>
          <w:rFonts w:ascii="Arial" w:hAnsi="Arial" w:cs="Arial"/>
          <w:sz w:val="18"/>
          <w:szCs w:val="18"/>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Style w:val="Hyperlink"/>
          <w:rFonts w:ascii="Arial" w:hAnsi="Arial" w:cs="Arial"/>
          <w:bCs/>
          <w:color w:val="000000" w:themeColor="text1"/>
          <w:sz w:val="16"/>
          <w:szCs w:val="16"/>
          <w:u w:val="none"/>
          <w:lang w:val="fr-FR"/>
        </w:rPr>
        <w:t xml:space="preserve">Please refer to Declaration Form for Self-Developed Application on Readiness Test Arrangement in </w:t>
      </w:r>
      <w:hyperlink r:id="rId2" w:history="1">
        <w:r w:rsidRPr="00E3106E">
          <w:rPr>
            <w:rStyle w:val="Hyperlink"/>
            <w:rFonts w:ascii="Arial" w:hAnsi="Arial" w:cs="Arial"/>
            <w:bCs/>
            <w:sz w:val="16"/>
            <w:szCs w:val="16"/>
            <w:lang w:val="fr-FR"/>
          </w:rPr>
          <w:t>our website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rsidP="0059190F">
    <w:pPr>
      <w:pStyle w:val="Header"/>
      <w:spacing w:line="360" w:lineRule="exact"/>
      <w:rPr>
        <w:rFonts w:eastAsia="Microsoft JhengHei"/>
        <w:noProof/>
        <w:szCs w:val="24"/>
      </w:rPr>
    </w:pPr>
  </w:p>
  <w:p w:rsidR="00874B03" w:rsidRDefault="00874B03" w:rsidP="0059190F">
    <w:pPr>
      <w:pStyle w:val="Header"/>
      <w:spacing w:line="360" w:lineRule="exact"/>
      <w:rPr>
        <w:rFonts w:eastAsia="Microsoft JhengHei"/>
        <w:noProof/>
        <w:szCs w:val="24"/>
      </w:rPr>
    </w:pPr>
  </w:p>
  <w:p w:rsidR="00874B03" w:rsidRDefault="00874B03"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874B03" w:rsidRPr="00D67058" w:rsidRDefault="00874B03"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874B03" w:rsidRDefault="00874B03"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the Hong Kong Exchanges and Clearing Limited)</w:t>
    </w:r>
    <w:r w:rsidR="0086008E">
      <w:rPr>
        <w:kern w:val="0"/>
        <w:sz w:val="28"/>
        <w:lang w:eastAsia="zh-CN"/>
      </w:rPr>
      <w:pict>
        <v:rect id="_x0000_i1026" style="width:0;height:1.5pt" o:hralign="center" o:hrstd="t" o:hr="t" fillcolor="gray" stroked="f"/>
      </w:pict>
    </w:r>
  </w:p>
  <w:p w:rsidR="00874B03" w:rsidRPr="0059190F" w:rsidRDefault="00874B03"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rsidP="0059190F">
    <w:pPr>
      <w:pStyle w:val="Header"/>
      <w:spacing w:line="360" w:lineRule="exact"/>
      <w:rPr>
        <w:rFonts w:eastAsia="Microsoft JhengHei"/>
        <w:noProof/>
        <w:szCs w:val="24"/>
      </w:rPr>
    </w:pPr>
  </w:p>
  <w:p w:rsidR="00874B03" w:rsidRPr="0059190F" w:rsidRDefault="00874B03"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cumentProtection w:edit="forms" w:enforcement="1" w:cryptProviderType="rsaFull" w:cryptAlgorithmClass="hash" w:cryptAlgorithmType="typeAny" w:cryptAlgorithmSid="4" w:cryptSpinCount="100000" w:hash="P5ue0ecY7xSQwJ8EOPDPqFECygs=" w:salt="FfiOpS5wQSfY3+92XDipRA=="/>
  <w:defaultTabStop w:val="720"/>
  <w:drawingGridHorizontalSpacing w:val="120"/>
  <w:drawingGridVerticalSpacing w:val="163"/>
  <w:displayHorizontalDrawingGridEvery w:val="0"/>
  <w:displayVerticalDrawingGridEvery w:val="2"/>
  <w:characterSpacingControl w:val="doNotCompress"/>
  <w:hdrShapeDefaults>
    <o:shapedefaults v:ext="edit" spidmax="901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33515"/>
    <w:rsid w:val="00134CF3"/>
    <w:rsid w:val="001905C1"/>
    <w:rsid w:val="00195514"/>
    <w:rsid w:val="001958FE"/>
    <w:rsid w:val="001A2BF9"/>
    <w:rsid w:val="001A7A69"/>
    <w:rsid w:val="001B3ABD"/>
    <w:rsid w:val="001B3FE7"/>
    <w:rsid w:val="001D0043"/>
    <w:rsid w:val="001D297A"/>
    <w:rsid w:val="001E7A74"/>
    <w:rsid w:val="001F0A58"/>
    <w:rsid w:val="001F746A"/>
    <w:rsid w:val="00202734"/>
    <w:rsid w:val="00225218"/>
    <w:rsid w:val="002472F5"/>
    <w:rsid w:val="00264BF7"/>
    <w:rsid w:val="002866CA"/>
    <w:rsid w:val="002B3198"/>
    <w:rsid w:val="002C141E"/>
    <w:rsid w:val="002D53F7"/>
    <w:rsid w:val="002F0AE0"/>
    <w:rsid w:val="00344452"/>
    <w:rsid w:val="00357DA0"/>
    <w:rsid w:val="00376D65"/>
    <w:rsid w:val="003E5CF8"/>
    <w:rsid w:val="003E63D0"/>
    <w:rsid w:val="003E720C"/>
    <w:rsid w:val="003F12FB"/>
    <w:rsid w:val="003F3064"/>
    <w:rsid w:val="00445A01"/>
    <w:rsid w:val="004E26EC"/>
    <w:rsid w:val="00500C1F"/>
    <w:rsid w:val="0050317F"/>
    <w:rsid w:val="00505702"/>
    <w:rsid w:val="00506D39"/>
    <w:rsid w:val="00513ADD"/>
    <w:rsid w:val="00530E31"/>
    <w:rsid w:val="005332A5"/>
    <w:rsid w:val="00534C62"/>
    <w:rsid w:val="005532D0"/>
    <w:rsid w:val="0055494A"/>
    <w:rsid w:val="00581C66"/>
    <w:rsid w:val="0059190F"/>
    <w:rsid w:val="005A2BB9"/>
    <w:rsid w:val="005B0AE3"/>
    <w:rsid w:val="005C1835"/>
    <w:rsid w:val="005E108A"/>
    <w:rsid w:val="005F402F"/>
    <w:rsid w:val="00606852"/>
    <w:rsid w:val="00617731"/>
    <w:rsid w:val="00621CA6"/>
    <w:rsid w:val="00637C04"/>
    <w:rsid w:val="00670D20"/>
    <w:rsid w:val="006712B6"/>
    <w:rsid w:val="00671530"/>
    <w:rsid w:val="006C4B12"/>
    <w:rsid w:val="006D0F7F"/>
    <w:rsid w:val="006D4181"/>
    <w:rsid w:val="006E738B"/>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B58A2"/>
    <w:rsid w:val="008D6009"/>
    <w:rsid w:val="008E2587"/>
    <w:rsid w:val="008F6F88"/>
    <w:rsid w:val="00903885"/>
    <w:rsid w:val="00904A49"/>
    <w:rsid w:val="009443DC"/>
    <w:rsid w:val="00962845"/>
    <w:rsid w:val="009C2ADA"/>
    <w:rsid w:val="009D620F"/>
    <w:rsid w:val="009F3DA3"/>
    <w:rsid w:val="00A01347"/>
    <w:rsid w:val="00A0316B"/>
    <w:rsid w:val="00A114E5"/>
    <w:rsid w:val="00A3124D"/>
    <w:rsid w:val="00A35892"/>
    <w:rsid w:val="00A66599"/>
    <w:rsid w:val="00A673B8"/>
    <w:rsid w:val="00A73036"/>
    <w:rsid w:val="00AC73CA"/>
    <w:rsid w:val="00B13AC2"/>
    <w:rsid w:val="00B13E8A"/>
    <w:rsid w:val="00B2196F"/>
    <w:rsid w:val="00B261BA"/>
    <w:rsid w:val="00B4470D"/>
    <w:rsid w:val="00B5122F"/>
    <w:rsid w:val="00B55D86"/>
    <w:rsid w:val="00B80AA9"/>
    <w:rsid w:val="00B93AEC"/>
    <w:rsid w:val="00BA01DC"/>
    <w:rsid w:val="00BB0197"/>
    <w:rsid w:val="00BD1D8F"/>
    <w:rsid w:val="00BE04F2"/>
    <w:rsid w:val="00BE66C4"/>
    <w:rsid w:val="00BE79D5"/>
    <w:rsid w:val="00C10544"/>
    <w:rsid w:val="00C453B1"/>
    <w:rsid w:val="00C54759"/>
    <w:rsid w:val="00C777A1"/>
    <w:rsid w:val="00C90FE0"/>
    <w:rsid w:val="00CA1544"/>
    <w:rsid w:val="00CA5319"/>
    <w:rsid w:val="00CB0761"/>
    <w:rsid w:val="00CC1E4A"/>
    <w:rsid w:val="00CC5194"/>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semiHidden/>
    <w:unhideWhenUsed/>
    <w:rsid w:val="00A66599"/>
    <w:pPr>
      <w:snapToGrid w:val="0"/>
    </w:pPr>
    <w:rPr>
      <w:sz w:val="20"/>
    </w:rPr>
  </w:style>
  <w:style w:type="character" w:customStyle="1" w:styleId="FootnoteTextChar">
    <w:name w:val="Footnote Text Char"/>
    <w:basedOn w:val="DefaultParagraphFont"/>
    <w:link w:val="FootnoteText"/>
    <w:uiPriority w:val="99"/>
    <w:semiHidden/>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semiHidden/>
    <w:unhideWhenUsed/>
    <w:rsid w:val="00A66599"/>
    <w:pPr>
      <w:snapToGrid w:val="0"/>
    </w:pPr>
    <w:rPr>
      <w:sz w:val="20"/>
    </w:rPr>
  </w:style>
  <w:style w:type="character" w:customStyle="1" w:styleId="FootnoteTextChar">
    <w:name w:val="Footnote Text Char"/>
    <w:basedOn w:val="DefaultParagraphFont"/>
    <w:link w:val="FootnoteText"/>
    <w:uiPriority w:val="99"/>
    <w:semiHidden/>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kex.com.hk/eng/prod/dataprod/la/prices/Fee_Schedul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kex.com.hk/Services/Rules-and-Forms-and-Fees/Forms/Securities-(Hong-Kong)/Market-Data?sc_lang=en" TargetMode="External"/><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69A6-0906-4501-966F-B8CCC1F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Joyce Kwan</cp:lastModifiedBy>
  <cp:revision>2</cp:revision>
  <cp:lastPrinted>2018-05-18T10:12:00Z</cp:lastPrinted>
  <dcterms:created xsi:type="dcterms:W3CDTF">2019-05-16T05:24:00Z</dcterms:created>
  <dcterms:modified xsi:type="dcterms:W3CDTF">2019-05-16T05:24:00Z</dcterms:modified>
</cp:coreProperties>
</file>